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69" w:rsidRPr="00D52B40" w:rsidRDefault="005E0853">
      <w:pPr>
        <w:rPr>
          <w:b/>
          <w:i/>
          <w:sz w:val="21"/>
          <w:szCs w:val="21"/>
          <w:u w:val="single"/>
        </w:rPr>
      </w:pPr>
      <w:bookmarkStart w:id="0" w:name="_GoBack"/>
      <w:bookmarkEnd w:id="0"/>
      <w:r>
        <w:rPr>
          <w:b/>
          <w:sz w:val="21"/>
          <w:szCs w:val="21"/>
          <w:u w:val="single"/>
        </w:rPr>
        <w:t xml:space="preserve">La </w:t>
      </w:r>
      <w:proofErr w:type="spellStart"/>
      <w:r>
        <w:rPr>
          <w:b/>
          <w:sz w:val="21"/>
          <w:szCs w:val="21"/>
          <w:u w:val="single"/>
        </w:rPr>
        <w:t>Foret</w:t>
      </w:r>
      <w:proofErr w:type="spellEnd"/>
      <w:r>
        <w:rPr>
          <w:b/>
          <w:sz w:val="21"/>
          <w:szCs w:val="21"/>
          <w:u w:val="single"/>
        </w:rPr>
        <w:t xml:space="preserve"> </w:t>
      </w:r>
      <w:proofErr w:type="spellStart"/>
      <w:proofErr w:type="gramStart"/>
      <w:r>
        <w:rPr>
          <w:b/>
          <w:sz w:val="21"/>
          <w:szCs w:val="21"/>
          <w:u w:val="single"/>
        </w:rPr>
        <w:t>d’Armotte</w:t>
      </w:r>
      <w:proofErr w:type="spellEnd"/>
      <w:r>
        <w:rPr>
          <w:b/>
          <w:sz w:val="21"/>
          <w:szCs w:val="21"/>
          <w:u w:val="single"/>
        </w:rPr>
        <w:t xml:space="preserve"> </w:t>
      </w:r>
      <w:r w:rsidR="004C6773" w:rsidRPr="00D52B40">
        <w:rPr>
          <w:b/>
          <w:sz w:val="21"/>
          <w:szCs w:val="21"/>
          <w:u w:val="single"/>
        </w:rPr>
        <w:t xml:space="preserve"> </w:t>
      </w:r>
      <w:r>
        <w:rPr>
          <w:b/>
          <w:sz w:val="21"/>
          <w:szCs w:val="21"/>
          <w:u w:val="single"/>
        </w:rPr>
        <w:t>4</w:t>
      </w:r>
      <w:proofErr w:type="gramEnd"/>
      <w:r>
        <w:rPr>
          <w:b/>
          <w:sz w:val="21"/>
          <w:szCs w:val="21"/>
          <w:u w:val="single"/>
        </w:rPr>
        <w:t xml:space="preserve"> bedroom villa </w:t>
      </w:r>
      <w:r w:rsidR="004C6773" w:rsidRPr="00D52B40">
        <w:rPr>
          <w:b/>
          <w:sz w:val="21"/>
          <w:szCs w:val="21"/>
          <w:u w:val="single"/>
        </w:rPr>
        <w:t>investment simulation</w:t>
      </w:r>
      <w:r w:rsidR="00D25963" w:rsidRPr="00D52B40">
        <w:rPr>
          <w:b/>
          <w:sz w:val="21"/>
          <w:szCs w:val="21"/>
          <w:u w:val="single"/>
        </w:rPr>
        <w:t xml:space="preserve"> </w:t>
      </w:r>
    </w:p>
    <w:p w:rsidR="00B3475F" w:rsidRPr="00D52B40" w:rsidRDefault="00423728" w:rsidP="00B3475F">
      <w:pPr>
        <w:pStyle w:val="ListParagraph"/>
        <w:numPr>
          <w:ilvl w:val="0"/>
          <w:numId w:val="1"/>
        </w:numPr>
        <w:rPr>
          <w:sz w:val="21"/>
          <w:szCs w:val="21"/>
          <w:lang w:val="fr-FR"/>
        </w:rPr>
      </w:pPr>
      <w:r w:rsidRPr="00D52B40">
        <w:rPr>
          <w:sz w:val="21"/>
          <w:szCs w:val="21"/>
          <w:lang w:val="fr-FR"/>
        </w:rPr>
        <w:t xml:space="preserve">Total </w:t>
      </w:r>
      <w:r w:rsidR="00FD0D07" w:rsidRPr="00D52B40">
        <w:rPr>
          <w:sz w:val="21"/>
          <w:szCs w:val="21"/>
          <w:lang w:val="fr-FR"/>
        </w:rPr>
        <w:t>Price</w:t>
      </w:r>
      <w:r w:rsidR="00B3475F" w:rsidRPr="00D52B40">
        <w:rPr>
          <w:sz w:val="21"/>
          <w:szCs w:val="21"/>
          <w:lang w:val="fr-FR"/>
        </w:rPr>
        <w:t xml:space="preserve">: </w:t>
      </w:r>
      <w:r w:rsidR="006753EC">
        <w:rPr>
          <w:sz w:val="21"/>
          <w:szCs w:val="21"/>
          <w:lang w:val="fr-FR"/>
        </w:rPr>
        <w:t>423</w:t>
      </w:r>
      <w:r w:rsidR="005E0853">
        <w:rPr>
          <w:sz w:val="21"/>
          <w:szCs w:val="21"/>
          <w:lang w:val="fr-FR"/>
        </w:rPr>
        <w:t>,800</w:t>
      </w:r>
      <w:r w:rsidR="00B3475F" w:rsidRPr="00D52B40">
        <w:rPr>
          <w:sz w:val="21"/>
          <w:szCs w:val="21"/>
          <w:lang w:val="fr-FR"/>
        </w:rPr>
        <w:t xml:space="preserve"> Euros (</w:t>
      </w:r>
      <w:r w:rsidR="005E0853">
        <w:rPr>
          <w:sz w:val="21"/>
          <w:szCs w:val="21"/>
          <w:lang w:val="fr-FR"/>
        </w:rPr>
        <w:t>354,000</w:t>
      </w:r>
      <w:r w:rsidR="00B3475F" w:rsidRPr="00D52B40">
        <w:rPr>
          <w:sz w:val="21"/>
          <w:szCs w:val="21"/>
          <w:lang w:val="fr-FR"/>
        </w:rPr>
        <w:t xml:space="preserve"> Euros </w:t>
      </w:r>
      <w:r w:rsidRPr="00D52B40">
        <w:rPr>
          <w:sz w:val="21"/>
          <w:szCs w:val="21"/>
          <w:lang w:val="fr-FR"/>
        </w:rPr>
        <w:t>ex VAT</w:t>
      </w:r>
      <w:r w:rsidR="00B3475F" w:rsidRPr="00D52B40">
        <w:rPr>
          <w:sz w:val="21"/>
          <w:szCs w:val="21"/>
          <w:lang w:val="fr-FR"/>
        </w:rPr>
        <w:t>)</w:t>
      </w:r>
    </w:p>
    <w:p w:rsidR="00280DE0" w:rsidRPr="00D52B40" w:rsidRDefault="00423728" w:rsidP="00B3475F">
      <w:pPr>
        <w:pStyle w:val="ListParagraph"/>
        <w:numPr>
          <w:ilvl w:val="0"/>
          <w:numId w:val="1"/>
        </w:numPr>
        <w:rPr>
          <w:sz w:val="21"/>
          <w:szCs w:val="21"/>
          <w:lang w:val="fr-FR"/>
        </w:rPr>
      </w:pPr>
      <w:r w:rsidRPr="00D52B40">
        <w:rPr>
          <w:sz w:val="21"/>
          <w:szCs w:val="21"/>
          <w:lang w:val="fr-FR"/>
        </w:rPr>
        <w:t xml:space="preserve">Price per m2: </w:t>
      </w:r>
      <w:r w:rsidR="005E0853">
        <w:rPr>
          <w:sz w:val="21"/>
          <w:szCs w:val="21"/>
          <w:lang w:val="fr-FR"/>
        </w:rPr>
        <w:t>4,</w:t>
      </w:r>
      <w:r w:rsidR="006753EC">
        <w:rPr>
          <w:sz w:val="21"/>
          <w:szCs w:val="21"/>
          <w:lang w:val="fr-FR"/>
        </w:rPr>
        <w:t>464</w:t>
      </w:r>
      <w:r w:rsidR="00280DE0" w:rsidRPr="00D52B40">
        <w:rPr>
          <w:sz w:val="21"/>
          <w:szCs w:val="21"/>
          <w:lang w:val="fr-FR"/>
        </w:rPr>
        <w:t xml:space="preserve"> Euros (</w:t>
      </w:r>
      <w:r w:rsidR="005E0853">
        <w:rPr>
          <w:sz w:val="21"/>
          <w:szCs w:val="21"/>
          <w:lang w:val="fr-FR"/>
        </w:rPr>
        <w:t>3,647</w:t>
      </w:r>
      <w:r w:rsidRPr="00D52B40">
        <w:rPr>
          <w:sz w:val="21"/>
          <w:szCs w:val="21"/>
          <w:lang w:val="fr-FR"/>
        </w:rPr>
        <w:t xml:space="preserve"> Euros ex VAT</w:t>
      </w:r>
      <w:r w:rsidR="00280DE0" w:rsidRPr="00D52B40">
        <w:rPr>
          <w:sz w:val="21"/>
          <w:szCs w:val="21"/>
          <w:lang w:val="fr-FR"/>
        </w:rPr>
        <w:t>)</w:t>
      </w:r>
    </w:p>
    <w:p w:rsidR="004D7EDD" w:rsidRPr="00D52B40" w:rsidRDefault="004D7EDD" w:rsidP="00F97B11">
      <w:pPr>
        <w:pStyle w:val="ListParagraph"/>
        <w:numPr>
          <w:ilvl w:val="0"/>
          <w:numId w:val="1"/>
        </w:numPr>
        <w:spacing w:after="0"/>
        <w:rPr>
          <w:sz w:val="21"/>
          <w:szCs w:val="21"/>
        </w:rPr>
      </w:pPr>
      <w:r w:rsidRPr="00D52B40">
        <w:rPr>
          <w:sz w:val="21"/>
          <w:szCs w:val="21"/>
        </w:rPr>
        <w:t xml:space="preserve">VAT Reimbursed via signing of </w:t>
      </w:r>
      <w:proofErr w:type="spellStart"/>
      <w:r w:rsidRPr="00D52B40">
        <w:rPr>
          <w:sz w:val="21"/>
          <w:szCs w:val="21"/>
        </w:rPr>
        <w:t>mandat</w:t>
      </w:r>
      <w:proofErr w:type="spellEnd"/>
      <w:r w:rsidRPr="00D52B40">
        <w:rPr>
          <w:sz w:val="21"/>
          <w:szCs w:val="21"/>
        </w:rPr>
        <w:t xml:space="preserve"> de </w:t>
      </w:r>
      <w:proofErr w:type="spellStart"/>
      <w:r w:rsidRPr="00D52B40">
        <w:rPr>
          <w:sz w:val="21"/>
          <w:szCs w:val="21"/>
        </w:rPr>
        <w:t>gestion</w:t>
      </w:r>
      <w:proofErr w:type="spellEnd"/>
      <w:r w:rsidRPr="00D52B40">
        <w:rPr>
          <w:sz w:val="21"/>
          <w:szCs w:val="21"/>
        </w:rPr>
        <w:t xml:space="preserve">: </w:t>
      </w:r>
      <w:r w:rsidR="006753EC">
        <w:rPr>
          <w:sz w:val="21"/>
          <w:szCs w:val="21"/>
        </w:rPr>
        <w:t>69</w:t>
      </w:r>
      <w:r w:rsidR="005E0853">
        <w:rPr>
          <w:sz w:val="21"/>
          <w:szCs w:val="21"/>
        </w:rPr>
        <w:t>,800</w:t>
      </w:r>
      <w:r w:rsidR="002B189D">
        <w:rPr>
          <w:sz w:val="21"/>
          <w:szCs w:val="21"/>
        </w:rPr>
        <w:t xml:space="preserve"> Euros</w:t>
      </w:r>
    </w:p>
    <w:p w:rsidR="00101D24" w:rsidRPr="004C5F73" w:rsidRDefault="00101D24" w:rsidP="00101D24">
      <w:pPr>
        <w:pStyle w:val="ListParagraph"/>
        <w:spacing w:after="0"/>
        <w:rPr>
          <w:sz w:val="21"/>
          <w:szCs w:val="21"/>
        </w:rPr>
      </w:pPr>
    </w:p>
    <w:p w:rsidR="00101D24" w:rsidRPr="00D52B40" w:rsidRDefault="00101D24" w:rsidP="00101D24">
      <w:pPr>
        <w:spacing w:after="0"/>
        <w:rPr>
          <w:i/>
          <w:sz w:val="21"/>
          <w:szCs w:val="21"/>
          <w:u w:val="single"/>
        </w:rPr>
      </w:pPr>
      <w:r w:rsidRPr="00D52B40">
        <w:rPr>
          <w:i/>
          <w:sz w:val="21"/>
          <w:szCs w:val="21"/>
          <w:u w:val="single"/>
        </w:rPr>
        <w:t>Running Costs</w:t>
      </w:r>
      <w:r w:rsidR="00236708" w:rsidRPr="00D52B40">
        <w:rPr>
          <w:i/>
          <w:sz w:val="21"/>
          <w:szCs w:val="21"/>
          <w:u w:val="single"/>
        </w:rPr>
        <w:t xml:space="preserve"> for owner</w:t>
      </w:r>
      <w:r w:rsidR="00FD0D07">
        <w:rPr>
          <w:i/>
          <w:sz w:val="21"/>
          <w:szCs w:val="21"/>
          <w:u w:val="single"/>
        </w:rPr>
        <w:t>*</w:t>
      </w:r>
      <w:r w:rsidRPr="00D52B40">
        <w:rPr>
          <w:i/>
          <w:sz w:val="21"/>
          <w:szCs w:val="21"/>
          <w:u w:val="single"/>
        </w:rPr>
        <w:t>:</w:t>
      </w:r>
    </w:p>
    <w:p w:rsidR="00101D24" w:rsidRPr="00D52B40" w:rsidRDefault="00101D24" w:rsidP="00101D24">
      <w:pPr>
        <w:spacing w:after="0"/>
        <w:rPr>
          <w:sz w:val="21"/>
          <w:szCs w:val="21"/>
        </w:rPr>
      </w:pPr>
    </w:p>
    <w:p w:rsidR="00B83F6D" w:rsidRPr="000B62B9" w:rsidRDefault="0079441A" w:rsidP="00101D24">
      <w:pPr>
        <w:pStyle w:val="ListParagraph"/>
        <w:numPr>
          <w:ilvl w:val="0"/>
          <w:numId w:val="5"/>
        </w:numPr>
        <w:spacing w:after="0"/>
        <w:rPr>
          <w:sz w:val="21"/>
          <w:szCs w:val="21"/>
        </w:rPr>
      </w:pPr>
      <w:r>
        <w:rPr>
          <w:sz w:val="21"/>
          <w:szCs w:val="21"/>
        </w:rPr>
        <w:t>Co-ownership’s</w:t>
      </w:r>
      <w:r w:rsidR="00A0203A" w:rsidRPr="000B62B9">
        <w:rPr>
          <w:sz w:val="21"/>
          <w:szCs w:val="21"/>
        </w:rPr>
        <w:t xml:space="preserve"> </w:t>
      </w:r>
      <w:r w:rsidR="000B62B9" w:rsidRPr="000B62B9">
        <w:rPr>
          <w:sz w:val="21"/>
          <w:szCs w:val="21"/>
        </w:rPr>
        <w:t xml:space="preserve">charge </w:t>
      </w:r>
      <w:r w:rsidR="000B62B9">
        <w:rPr>
          <w:sz w:val="21"/>
          <w:szCs w:val="21"/>
        </w:rPr>
        <w:t>(owners association) incl. maintenance of communal parts:</w:t>
      </w:r>
      <w:r w:rsidR="000B62B9" w:rsidRPr="000B62B9">
        <w:rPr>
          <w:sz w:val="21"/>
          <w:szCs w:val="21"/>
        </w:rPr>
        <w:t xml:space="preserve"> 2</w:t>
      </w:r>
      <w:r w:rsidR="00A0203A" w:rsidRPr="000B62B9">
        <w:rPr>
          <w:sz w:val="21"/>
          <w:szCs w:val="21"/>
        </w:rPr>
        <w:t>5</w:t>
      </w:r>
      <w:r w:rsidR="00B83F6D" w:rsidRPr="000B62B9">
        <w:rPr>
          <w:sz w:val="21"/>
          <w:szCs w:val="21"/>
        </w:rPr>
        <w:t>0 Euros per annum</w:t>
      </w:r>
    </w:p>
    <w:p w:rsidR="00E558A5" w:rsidRPr="007E39A6" w:rsidRDefault="00E558A5" w:rsidP="00101D24">
      <w:pPr>
        <w:pStyle w:val="ListParagraph"/>
        <w:numPr>
          <w:ilvl w:val="0"/>
          <w:numId w:val="5"/>
        </w:numPr>
        <w:spacing w:after="0"/>
        <w:rPr>
          <w:sz w:val="21"/>
          <w:szCs w:val="21"/>
        </w:rPr>
      </w:pPr>
      <w:r w:rsidRPr="007E39A6">
        <w:rPr>
          <w:sz w:val="21"/>
          <w:szCs w:val="21"/>
        </w:rPr>
        <w:t>Accounta</w:t>
      </w:r>
      <w:r w:rsidR="007E39A6">
        <w:rPr>
          <w:sz w:val="21"/>
          <w:szCs w:val="21"/>
        </w:rPr>
        <w:t>n</w:t>
      </w:r>
      <w:r w:rsidRPr="007E39A6">
        <w:rPr>
          <w:sz w:val="21"/>
          <w:szCs w:val="21"/>
        </w:rPr>
        <w:t>cy fees </w:t>
      </w:r>
      <w:r w:rsidR="000B62B9">
        <w:rPr>
          <w:sz w:val="21"/>
          <w:szCs w:val="21"/>
        </w:rPr>
        <w:t>(if rented out)</w:t>
      </w:r>
      <w:r w:rsidRPr="007E39A6">
        <w:rPr>
          <w:sz w:val="21"/>
          <w:szCs w:val="21"/>
        </w:rPr>
        <w:t>:</w:t>
      </w:r>
      <w:r w:rsidR="007E39A6" w:rsidRPr="007E39A6">
        <w:rPr>
          <w:sz w:val="21"/>
          <w:szCs w:val="21"/>
        </w:rPr>
        <w:t xml:space="preserve"> 300 Euros</w:t>
      </w:r>
      <w:r w:rsidRPr="007E39A6">
        <w:rPr>
          <w:sz w:val="21"/>
          <w:szCs w:val="21"/>
        </w:rPr>
        <w:t xml:space="preserve"> per annum</w:t>
      </w:r>
    </w:p>
    <w:p w:rsidR="00847B4B" w:rsidRPr="005E0853" w:rsidRDefault="00E558A5" w:rsidP="00847B4B">
      <w:pPr>
        <w:pStyle w:val="ListParagraph"/>
        <w:numPr>
          <w:ilvl w:val="0"/>
          <w:numId w:val="5"/>
        </w:numPr>
        <w:spacing w:after="0"/>
        <w:rPr>
          <w:sz w:val="21"/>
          <w:szCs w:val="21"/>
        </w:rPr>
      </w:pPr>
      <w:r w:rsidRPr="00D52B40">
        <w:rPr>
          <w:sz w:val="21"/>
          <w:szCs w:val="21"/>
        </w:rPr>
        <w:t>Land tax (</w:t>
      </w:r>
      <w:proofErr w:type="spellStart"/>
      <w:r w:rsidRPr="00D52B40">
        <w:rPr>
          <w:sz w:val="21"/>
          <w:szCs w:val="21"/>
        </w:rPr>
        <w:t>taxe</w:t>
      </w:r>
      <w:proofErr w:type="spellEnd"/>
      <w:r w:rsidRPr="00D52B40">
        <w:rPr>
          <w:sz w:val="21"/>
          <w:szCs w:val="21"/>
        </w:rPr>
        <w:t xml:space="preserve"> </w:t>
      </w:r>
      <w:proofErr w:type="spellStart"/>
      <w:r w:rsidRPr="00D52B40">
        <w:rPr>
          <w:sz w:val="21"/>
          <w:szCs w:val="21"/>
        </w:rPr>
        <w:t>foncière</w:t>
      </w:r>
      <w:proofErr w:type="spellEnd"/>
      <w:r w:rsidRPr="00D52B40">
        <w:rPr>
          <w:sz w:val="21"/>
          <w:szCs w:val="21"/>
        </w:rPr>
        <w:t>)</w:t>
      </w:r>
      <w:r w:rsidR="007E39A6">
        <w:rPr>
          <w:sz w:val="21"/>
          <w:szCs w:val="21"/>
        </w:rPr>
        <w:t xml:space="preserve">: </w:t>
      </w:r>
      <w:r w:rsidR="00A0203A">
        <w:rPr>
          <w:sz w:val="21"/>
          <w:szCs w:val="21"/>
        </w:rPr>
        <w:t>1</w:t>
      </w:r>
      <w:r w:rsidR="005E0853">
        <w:rPr>
          <w:sz w:val="21"/>
          <w:szCs w:val="21"/>
        </w:rPr>
        <w:t>4</w:t>
      </w:r>
      <w:r w:rsidR="007E39A6">
        <w:rPr>
          <w:sz w:val="21"/>
          <w:szCs w:val="21"/>
        </w:rPr>
        <w:t xml:space="preserve"> Euros </w:t>
      </w:r>
      <w:r w:rsidRPr="00D52B40">
        <w:rPr>
          <w:sz w:val="21"/>
          <w:szCs w:val="21"/>
        </w:rPr>
        <w:t xml:space="preserve">per </w:t>
      </w:r>
      <w:proofErr w:type="spellStart"/>
      <w:r w:rsidRPr="00D52B40">
        <w:rPr>
          <w:sz w:val="21"/>
          <w:szCs w:val="21"/>
        </w:rPr>
        <w:t>sqm</w:t>
      </w:r>
      <w:proofErr w:type="spellEnd"/>
      <w:r w:rsidRPr="00D52B40">
        <w:rPr>
          <w:sz w:val="21"/>
          <w:szCs w:val="21"/>
        </w:rPr>
        <w:t xml:space="preserve"> per annum</w:t>
      </w:r>
      <w:r w:rsidR="007E39A6">
        <w:rPr>
          <w:sz w:val="21"/>
          <w:szCs w:val="21"/>
        </w:rPr>
        <w:t xml:space="preserve">: </w:t>
      </w:r>
      <w:r w:rsidR="005E0853">
        <w:rPr>
          <w:sz w:val="21"/>
          <w:szCs w:val="21"/>
        </w:rPr>
        <w:t>1360</w:t>
      </w:r>
      <w:r w:rsidR="007E39A6">
        <w:rPr>
          <w:sz w:val="21"/>
          <w:szCs w:val="21"/>
        </w:rPr>
        <w:t xml:space="preserve"> Euros</w:t>
      </w:r>
      <w:r w:rsidRPr="00D52B40">
        <w:rPr>
          <w:sz w:val="21"/>
          <w:szCs w:val="21"/>
        </w:rPr>
        <w:t xml:space="preserve"> per annum</w:t>
      </w:r>
    </w:p>
    <w:p w:rsidR="00847B4B" w:rsidRDefault="005E0853" w:rsidP="00847B4B">
      <w:pPr>
        <w:numPr>
          <w:ilvl w:val="0"/>
          <w:numId w:val="5"/>
        </w:numPr>
        <w:spacing w:after="0"/>
        <w:rPr>
          <w:sz w:val="21"/>
          <w:szCs w:val="21"/>
        </w:rPr>
      </w:pPr>
      <w:r>
        <w:rPr>
          <w:sz w:val="21"/>
          <w:szCs w:val="21"/>
        </w:rPr>
        <w:t>Maintenance &amp; running costs</w:t>
      </w:r>
      <w:r w:rsidR="00113C28">
        <w:rPr>
          <w:sz w:val="21"/>
          <w:szCs w:val="21"/>
        </w:rPr>
        <w:t xml:space="preserve"> of private area (garden &amp; pool): 800 Euros per annum</w:t>
      </w:r>
    </w:p>
    <w:p w:rsidR="00113C28" w:rsidRPr="00847B4B" w:rsidRDefault="00113C28" w:rsidP="00847B4B">
      <w:pPr>
        <w:numPr>
          <w:ilvl w:val="0"/>
          <w:numId w:val="5"/>
        </w:numPr>
        <w:spacing w:after="0"/>
        <w:rPr>
          <w:sz w:val="21"/>
          <w:szCs w:val="21"/>
        </w:rPr>
      </w:pPr>
      <w:r>
        <w:rPr>
          <w:sz w:val="21"/>
          <w:szCs w:val="21"/>
        </w:rPr>
        <w:t xml:space="preserve">Energy, </w:t>
      </w:r>
      <w:proofErr w:type="spellStart"/>
      <w:r>
        <w:rPr>
          <w:sz w:val="21"/>
          <w:szCs w:val="21"/>
        </w:rPr>
        <w:t>tel</w:t>
      </w:r>
      <w:proofErr w:type="spellEnd"/>
      <w:r>
        <w:rPr>
          <w:sz w:val="21"/>
          <w:szCs w:val="21"/>
        </w:rPr>
        <w:t>/internet, TV &amp; water bills: 900</w:t>
      </w:r>
      <w:r w:rsidRPr="00113C28">
        <w:rPr>
          <w:sz w:val="21"/>
          <w:szCs w:val="21"/>
        </w:rPr>
        <w:t xml:space="preserve"> Euros per annum</w:t>
      </w:r>
    </w:p>
    <w:p w:rsidR="00847B4B" w:rsidRDefault="00847B4B" w:rsidP="00847B4B">
      <w:pPr>
        <w:numPr>
          <w:ilvl w:val="0"/>
          <w:numId w:val="5"/>
        </w:numPr>
        <w:spacing w:after="0"/>
        <w:rPr>
          <w:sz w:val="21"/>
          <w:szCs w:val="21"/>
        </w:rPr>
      </w:pPr>
      <w:r>
        <w:rPr>
          <w:sz w:val="21"/>
          <w:szCs w:val="21"/>
        </w:rPr>
        <w:t>Small r</w:t>
      </w:r>
      <w:r w:rsidR="000B62B9">
        <w:rPr>
          <w:sz w:val="21"/>
          <w:szCs w:val="21"/>
        </w:rPr>
        <w:t>epair costs estimated: 19</w:t>
      </w:r>
      <w:r w:rsidRPr="00847B4B">
        <w:rPr>
          <w:sz w:val="21"/>
          <w:szCs w:val="21"/>
        </w:rPr>
        <w:t>0 Euros per annum</w:t>
      </w:r>
    </w:p>
    <w:p w:rsidR="005E0853" w:rsidRPr="005E0853" w:rsidRDefault="000B62B9" w:rsidP="005E0853">
      <w:pPr>
        <w:pStyle w:val="ListParagraph"/>
        <w:numPr>
          <w:ilvl w:val="0"/>
          <w:numId w:val="5"/>
        </w:numPr>
        <w:rPr>
          <w:sz w:val="21"/>
          <w:szCs w:val="21"/>
        </w:rPr>
      </w:pPr>
      <w:r>
        <w:rPr>
          <w:sz w:val="21"/>
          <w:szCs w:val="21"/>
        </w:rPr>
        <w:t>Building Insurance: 20</w:t>
      </w:r>
      <w:r w:rsidR="005E0853">
        <w:rPr>
          <w:sz w:val="21"/>
          <w:szCs w:val="21"/>
        </w:rPr>
        <w:t>0</w:t>
      </w:r>
      <w:r w:rsidR="005E0853" w:rsidRPr="005E0853">
        <w:rPr>
          <w:sz w:val="21"/>
          <w:szCs w:val="21"/>
        </w:rPr>
        <w:t xml:space="preserve"> Euros per annum</w:t>
      </w:r>
    </w:p>
    <w:p w:rsidR="00101D24" w:rsidRPr="00D52B40" w:rsidRDefault="00101D24" w:rsidP="00101D24">
      <w:pPr>
        <w:spacing w:after="0"/>
        <w:rPr>
          <w:sz w:val="21"/>
          <w:szCs w:val="21"/>
        </w:rPr>
      </w:pPr>
    </w:p>
    <w:p w:rsidR="004C6773" w:rsidRDefault="00D0338D">
      <w:pPr>
        <w:rPr>
          <w:i/>
          <w:sz w:val="21"/>
          <w:szCs w:val="21"/>
          <w:u w:val="single"/>
        </w:rPr>
      </w:pPr>
      <w:r w:rsidRPr="00D52B40">
        <w:rPr>
          <w:i/>
          <w:sz w:val="21"/>
          <w:szCs w:val="21"/>
          <w:u w:val="single"/>
        </w:rPr>
        <w:t>Rental income</w:t>
      </w:r>
      <w:r w:rsidR="00FD0D07">
        <w:rPr>
          <w:i/>
          <w:sz w:val="21"/>
          <w:szCs w:val="21"/>
          <w:u w:val="single"/>
        </w:rPr>
        <w:t>**</w:t>
      </w:r>
      <w:r w:rsidRPr="00D52B40">
        <w:rPr>
          <w:i/>
          <w:sz w:val="21"/>
          <w:szCs w:val="21"/>
          <w:u w:val="single"/>
        </w:rPr>
        <w:t>:</w:t>
      </w:r>
    </w:p>
    <w:p w:rsidR="00664DFC" w:rsidRPr="00D52B40" w:rsidRDefault="00664DFC">
      <w:pPr>
        <w:rPr>
          <w:i/>
          <w:sz w:val="21"/>
          <w:szCs w:val="21"/>
          <w:u w:val="single"/>
        </w:rPr>
      </w:pPr>
      <w:r>
        <w:rPr>
          <w:i/>
          <w:sz w:val="21"/>
          <w:szCs w:val="21"/>
          <w:u w:val="single"/>
        </w:rPr>
        <w:t xml:space="preserve">Variable </w:t>
      </w:r>
      <w:r w:rsidR="00A0203A">
        <w:rPr>
          <w:i/>
          <w:sz w:val="21"/>
          <w:szCs w:val="21"/>
          <w:u w:val="single"/>
        </w:rPr>
        <w:t>weekly</w:t>
      </w:r>
      <w:r>
        <w:rPr>
          <w:i/>
          <w:sz w:val="21"/>
          <w:szCs w:val="21"/>
          <w:u w:val="single"/>
        </w:rPr>
        <w:t xml:space="preserve"> rental:</w:t>
      </w:r>
    </w:p>
    <w:p w:rsidR="00D0338D" w:rsidRPr="00D52B40" w:rsidRDefault="00BA40A3" w:rsidP="00D0338D">
      <w:pPr>
        <w:spacing w:after="0"/>
        <w:rPr>
          <w:sz w:val="21"/>
          <w:szCs w:val="21"/>
        </w:rPr>
      </w:pPr>
      <w:r w:rsidRPr="00D52B40">
        <w:rPr>
          <w:sz w:val="21"/>
          <w:szCs w:val="21"/>
        </w:rPr>
        <w:t xml:space="preserve">This is treated via a </w:t>
      </w:r>
      <w:proofErr w:type="spellStart"/>
      <w:r w:rsidR="004800B0" w:rsidRPr="00D52B40">
        <w:rPr>
          <w:sz w:val="21"/>
          <w:szCs w:val="21"/>
        </w:rPr>
        <w:t>Mandat</w:t>
      </w:r>
      <w:proofErr w:type="spellEnd"/>
      <w:r w:rsidR="004800B0" w:rsidRPr="00D52B40">
        <w:rPr>
          <w:sz w:val="21"/>
          <w:szCs w:val="21"/>
        </w:rPr>
        <w:t xml:space="preserve"> de </w:t>
      </w:r>
      <w:proofErr w:type="spellStart"/>
      <w:r w:rsidR="004800B0" w:rsidRPr="00D52B40">
        <w:rPr>
          <w:sz w:val="21"/>
          <w:szCs w:val="21"/>
        </w:rPr>
        <w:t>Gestion</w:t>
      </w:r>
      <w:proofErr w:type="spellEnd"/>
      <w:r w:rsidR="004800B0" w:rsidRPr="00D52B40">
        <w:rPr>
          <w:sz w:val="21"/>
          <w:szCs w:val="21"/>
        </w:rPr>
        <w:t xml:space="preserve"> </w:t>
      </w:r>
      <w:r w:rsidRPr="00D52B40">
        <w:rPr>
          <w:sz w:val="21"/>
          <w:szCs w:val="21"/>
        </w:rPr>
        <w:t xml:space="preserve">(rental management mandate) </w:t>
      </w:r>
      <w:r w:rsidR="004800B0" w:rsidRPr="00D52B40">
        <w:rPr>
          <w:sz w:val="21"/>
          <w:szCs w:val="21"/>
        </w:rPr>
        <w:t xml:space="preserve">where </w:t>
      </w:r>
      <w:r w:rsidR="005E0853">
        <w:rPr>
          <w:sz w:val="21"/>
          <w:szCs w:val="21"/>
        </w:rPr>
        <w:t>35</w:t>
      </w:r>
      <w:r w:rsidRPr="00D52B40">
        <w:rPr>
          <w:sz w:val="21"/>
          <w:szCs w:val="21"/>
        </w:rPr>
        <w:t>% goes</w:t>
      </w:r>
      <w:r w:rsidR="00D0338D" w:rsidRPr="00D52B40">
        <w:rPr>
          <w:sz w:val="21"/>
          <w:szCs w:val="21"/>
        </w:rPr>
        <w:t xml:space="preserve"> to the management </w:t>
      </w:r>
      <w:r w:rsidR="00D0338D" w:rsidRPr="005011FC">
        <w:rPr>
          <w:sz w:val="21"/>
          <w:szCs w:val="21"/>
        </w:rPr>
        <w:t xml:space="preserve">company while </w:t>
      </w:r>
      <w:r w:rsidR="005E0853">
        <w:rPr>
          <w:sz w:val="21"/>
          <w:szCs w:val="21"/>
        </w:rPr>
        <w:t>65</w:t>
      </w:r>
      <w:r w:rsidRPr="005011FC">
        <w:rPr>
          <w:sz w:val="21"/>
          <w:szCs w:val="21"/>
        </w:rPr>
        <w:t xml:space="preserve">% HT goes to the owner. </w:t>
      </w:r>
      <w:r w:rsidR="00D0338D" w:rsidRPr="00D52B40">
        <w:rPr>
          <w:sz w:val="21"/>
          <w:szCs w:val="21"/>
        </w:rPr>
        <w:t xml:space="preserve">There will be no </w:t>
      </w:r>
      <w:proofErr w:type="spellStart"/>
      <w:r w:rsidR="00D0338D" w:rsidRPr="00D52B40">
        <w:rPr>
          <w:sz w:val="21"/>
          <w:szCs w:val="21"/>
        </w:rPr>
        <w:t>taxe</w:t>
      </w:r>
      <w:proofErr w:type="spellEnd"/>
      <w:r w:rsidR="00D0338D" w:rsidRPr="00D52B40">
        <w:rPr>
          <w:sz w:val="21"/>
          <w:szCs w:val="21"/>
        </w:rPr>
        <w:t xml:space="preserve"> </w:t>
      </w:r>
      <w:proofErr w:type="spellStart"/>
      <w:r w:rsidR="00D0338D" w:rsidRPr="00D52B40">
        <w:rPr>
          <w:sz w:val="21"/>
          <w:szCs w:val="21"/>
        </w:rPr>
        <w:t>d’habitacion</w:t>
      </w:r>
      <w:proofErr w:type="spellEnd"/>
      <w:r w:rsidR="00D0338D" w:rsidRPr="00D52B40">
        <w:rPr>
          <w:sz w:val="21"/>
          <w:szCs w:val="21"/>
        </w:rPr>
        <w:t xml:space="preserve"> </w:t>
      </w:r>
      <w:r w:rsidR="00C968BF">
        <w:rPr>
          <w:sz w:val="21"/>
          <w:szCs w:val="21"/>
        </w:rPr>
        <w:t xml:space="preserve">if rented out via the onsite management company </w:t>
      </w:r>
      <w:r w:rsidR="00D0338D" w:rsidRPr="00D52B40">
        <w:rPr>
          <w:sz w:val="21"/>
          <w:szCs w:val="21"/>
        </w:rPr>
        <w:t xml:space="preserve">as there is a </w:t>
      </w:r>
      <w:proofErr w:type="spellStart"/>
      <w:r w:rsidR="00D0338D" w:rsidRPr="00D52B40">
        <w:rPr>
          <w:sz w:val="21"/>
          <w:szCs w:val="21"/>
        </w:rPr>
        <w:t>taxe</w:t>
      </w:r>
      <w:proofErr w:type="spellEnd"/>
      <w:r w:rsidR="00D0338D" w:rsidRPr="00D52B40">
        <w:rPr>
          <w:sz w:val="21"/>
          <w:szCs w:val="21"/>
        </w:rPr>
        <w:t xml:space="preserve"> de </w:t>
      </w:r>
      <w:proofErr w:type="spellStart"/>
      <w:r w:rsidR="00D0338D" w:rsidRPr="00D52B40">
        <w:rPr>
          <w:sz w:val="21"/>
          <w:szCs w:val="21"/>
        </w:rPr>
        <w:t>sejour</w:t>
      </w:r>
      <w:proofErr w:type="spellEnd"/>
      <w:r w:rsidR="00D0338D" w:rsidRPr="00D52B40">
        <w:rPr>
          <w:sz w:val="21"/>
          <w:szCs w:val="21"/>
        </w:rPr>
        <w:t xml:space="preserve"> i</w:t>
      </w:r>
      <w:r w:rsidR="003B1B32" w:rsidRPr="00D52B40">
        <w:rPr>
          <w:sz w:val="21"/>
          <w:szCs w:val="21"/>
        </w:rPr>
        <w:t>nstead</w:t>
      </w:r>
      <w:r w:rsidRPr="00D52B40">
        <w:rPr>
          <w:sz w:val="21"/>
          <w:szCs w:val="21"/>
        </w:rPr>
        <w:t xml:space="preserve"> under </w:t>
      </w:r>
      <w:r w:rsidR="00847B4B">
        <w:rPr>
          <w:sz w:val="21"/>
          <w:szCs w:val="21"/>
        </w:rPr>
        <w:t>this rental system.</w:t>
      </w:r>
      <w:r w:rsidR="003B1B32" w:rsidRPr="00D52B40">
        <w:rPr>
          <w:sz w:val="21"/>
          <w:szCs w:val="21"/>
        </w:rPr>
        <w:t xml:space="preserve"> </w:t>
      </w:r>
    </w:p>
    <w:p w:rsidR="00D0338D" w:rsidRPr="00D52B40" w:rsidRDefault="00D0338D" w:rsidP="00D0338D">
      <w:pPr>
        <w:spacing w:after="0"/>
        <w:rPr>
          <w:sz w:val="21"/>
          <w:szCs w:val="21"/>
        </w:rPr>
      </w:pPr>
    </w:p>
    <w:p w:rsidR="00F2745B" w:rsidRDefault="00D0338D" w:rsidP="00101D24">
      <w:pPr>
        <w:pStyle w:val="ListParagraph"/>
        <w:numPr>
          <w:ilvl w:val="0"/>
          <w:numId w:val="2"/>
        </w:numPr>
        <w:spacing w:after="0"/>
        <w:rPr>
          <w:sz w:val="21"/>
          <w:szCs w:val="21"/>
        </w:rPr>
      </w:pPr>
      <w:r w:rsidRPr="00D52B40">
        <w:rPr>
          <w:sz w:val="21"/>
          <w:szCs w:val="21"/>
        </w:rPr>
        <w:t xml:space="preserve">No. of </w:t>
      </w:r>
      <w:r w:rsidR="00A0203A">
        <w:rPr>
          <w:sz w:val="21"/>
          <w:szCs w:val="21"/>
        </w:rPr>
        <w:t>weeks</w:t>
      </w:r>
      <w:r w:rsidR="00E83754">
        <w:rPr>
          <w:sz w:val="21"/>
          <w:szCs w:val="21"/>
        </w:rPr>
        <w:t xml:space="preserve"> available to rent per year: </w:t>
      </w:r>
      <w:r w:rsidR="005E0853">
        <w:rPr>
          <w:sz w:val="21"/>
          <w:szCs w:val="21"/>
        </w:rPr>
        <w:t>52</w:t>
      </w:r>
    </w:p>
    <w:p w:rsidR="00D0338D" w:rsidRDefault="00FD0D07" w:rsidP="00101D24">
      <w:pPr>
        <w:pStyle w:val="ListParagraph"/>
        <w:numPr>
          <w:ilvl w:val="0"/>
          <w:numId w:val="2"/>
        </w:numPr>
        <w:spacing w:after="0"/>
        <w:rPr>
          <w:sz w:val="21"/>
          <w:szCs w:val="21"/>
        </w:rPr>
      </w:pPr>
      <w:r>
        <w:rPr>
          <w:sz w:val="21"/>
          <w:szCs w:val="21"/>
        </w:rPr>
        <w:t>Assume just 18</w:t>
      </w:r>
      <w:r w:rsidR="00F2745B">
        <w:rPr>
          <w:sz w:val="21"/>
          <w:szCs w:val="21"/>
        </w:rPr>
        <w:t xml:space="preserve"> w</w:t>
      </w:r>
      <w:r>
        <w:rPr>
          <w:sz w:val="21"/>
          <w:szCs w:val="21"/>
        </w:rPr>
        <w:t>eeks per annum are rented out (3</w:t>
      </w:r>
      <w:r w:rsidR="00F2745B">
        <w:rPr>
          <w:sz w:val="21"/>
          <w:szCs w:val="21"/>
        </w:rPr>
        <w:t>5% occupancy)</w:t>
      </w:r>
    </w:p>
    <w:p w:rsidR="00FD0D07" w:rsidRDefault="00FD0D07" w:rsidP="00FD0D07">
      <w:pPr>
        <w:pStyle w:val="ListParagraph"/>
        <w:numPr>
          <w:ilvl w:val="1"/>
          <w:numId w:val="2"/>
        </w:numPr>
        <w:spacing w:after="0"/>
        <w:rPr>
          <w:sz w:val="21"/>
          <w:szCs w:val="21"/>
        </w:rPr>
      </w:pPr>
      <w:r>
        <w:rPr>
          <w:sz w:val="21"/>
          <w:szCs w:val="21"/>
        </w:rPr>
        <w:t>8 weeks high season (July &amp; August)@ 3202 Euros/week = 25,624 Euros</w:t>
      </w:r>
    </w:p>
    <w:p w:rsidR="00FD0D07" w:rsidRPr="00D52B40" w:rsidRDefault="00FD0D07" w:rsidP="00FD0D07">
      <w:pPr>
        <w:pStyle w:val="ListParagraph"/>
        <w:numPr>
          <w:ilvl w:val="1"/>
          <w:numId w:val="2"/>
        </w:numPr>
        <w:spacing w:after="0"/>
        <w:rPr>
          <w:sz w:val="21"/>
          <w:szCs w:val="21"/>
        </w:rPr>
      </w:pPr>
      <w:r>
        <w:rPr>
          <w:sz w:val="21"/>
          <w:szCs w:val="21"/>
        </w:rPr>
        <w:t>10 weeks medium season (April to June &amp; September)@ 1,941 Euros/week = 19,41 Euros</w:t>
      </w:r>
    </w:p>
    <w:p w:rsidR="0034595E" w:rsidRDefault="0034595E" w:rsidP="00101D24">
      <w:pPr>
        <w:pStyle w:val="ListParagraph"/>
        <w:numPr>
          <w:ilvl w:val="0"/>
          <w:numId w:val="2"/>
        </w:numPr>
        <w:spacing w:after="0"/>
        <w:rPr>
          <w:sz w:val="21"/>
          <w:szCs w:val="21"/>
        </w:rPr>
      </w:pPr>
      <w:r w:rsidRPr="00D52B40">
        <w:rPr>
          <w:sz w:val="21"/>
          <w:szCs w:val="21"/>
        </w:rPr>
        <w:t>Total rental income</w:t>
      </w:r>
      <w:r w:rsidR="00FD0D07">
        <w:rPr>
          <w:sz w:val="21"/>
          <w:szCs w:val="21"/>
        </w:rPr>
        <w:t xml:space="preserve"> for 18</w:t>
      </w:r>
      <w:r w:rsidR="00F2745B">
        <w:rPr>
          <w:sz w:val="21"/>
          <w:szCs w:val="21"/>
        </w:rPr>
        <w:t xml:space="preserve"> weeks rental</w:t>
      </w:r>
      <w:r w:rsidRPr="00D52B40">
        <w:rPr>
          <w:sz w:val="21"/>
          <w:szCs w:val="21"/>
        </w:rPr>
        <w:t xml:space="preserve">: = </w:t>
      </w:r>
      <w:r w:rsidR="00FD0D07">
        <w:rPr>
          <w:b/>
          <w:sz w:val="21"/>
          <w:szCs w:val="21"/>
        </w:rPr>
        <w:t>45,034</w:t>
      </w:r>
      <w:r w:rsidRPr="00D52B40">
        <w:rPr>
          <w:b/>
          <w:sz w:val="21"/>
          <w:szCs w:val="21"/>
        </w:rPr>
        <w:t xml:space="preserve"> Euros</w:t>
      </w:r>
      <w:r w:rsidR="00101D24" w:rsidRPr="00D52B40">
        <w:rPr>
          <w:b/>
          <w:sz w:val="21"/>
          <w:szCs w:val="21"/>
        </w:rPr>
        <w:t xml:space="preserve"> </w:t>
      </w:r>
      <w:r w:rsidR="00101D24" w:rsidRPr="00D52B40">
        <w:rPr>
          <w:sz w:val="21"/>
          <w:szCs w:val="21"/>
        </w:rPr>
        <w:t>(</w:t>
      </w:r>
      <w:r w:rsidR="00FD0D07">
        <w:rPr>
          <w:sz w:val="21"/>
          <w:szCs w:val="21"/>
        </w:rPr>
        <w:t>12.7</w:t>
      </w:r>
      <w:r w:rsidR="00101D24" w:rsidRPr="00D52B40">
        <w:rPr>
          <w:sz w:val="21"/>
          <w:szCs w:val="21"/>
        </w:rPr>
        <w:t>% gross</w:t>
      </w:r>
      <w:r w:rsidR="00FD0D07">
        <w:rPr>
          <w:sz w:val="21"/>
          <w:szCs w:val="21"/>
        </w:rPr>
        <w:t xml:space="preserve"> rental return)</w:t>
      </w:r>
    </w:p>
    <w:p w:rsidR="00D91137" w:rsidRPr="00D91137" w:rsidRDefault="00FD0D07" w:rsidP="00D91137">
      <w:pPr>
        <w:pStyle w:val="ListParagraph"/>
        <w:numPr>
          <w:ilvl w:val="0"/>
          <w:numId w:val="2"/>
        </w:numPr>
        <w:spacing w:after="0"/>
        <w:rPr>
          <w:sz w:val="21"/>
          <w:szCs w:val="21"/>
        </w:rPr>
      </w:pPr>
      <w:r>
        <w:rPr>
          <w:sz w:val="21"/>
          <w:szCs w:val="21"/>
        </w:rPr>
        <w:t>Rental income after 35</w:t>
      </w:r>
      <w:r w:rsidR="00D91137" w:rsidRPr="00D91137">
        <w:rPr>
          <w:sz w:val="21"/>
          <w:szCs w:val="21"/>
        </w:rPr>
        <w:t xml:space="preserve">% commission paid = </w:t>
      </w:r>
      <w:r>
        <w:rPr>
          <w:b/>
          <w:sz w:val="21"/>
          <w:szCs w:val="21"/>
        </w:rPr>
        <w:t>29,272</w:t>
      </w:r>
      <w:r w:rsidR="00D91137" w:rsidRPr="00911320">
        <w:rPr>
          <w:b/>
          <w:sz w:val="21"/>
          <w:szCs w:val="21"/>
        </w:rPr>
        <w:t xml:space="preserve"> Euros</w:t>
      </w:r>
    </w:p>
    <w:p w:rsidR="00D91137" w:rsidRPr="00D91137" w:rsidRDefault="00D91137" w:rsidP="00D91137">
      <w:pPr>
        <w:pStyle w:val="ListParagraph"/>
        <w:numPr>
          <w:ilvl w:val="0"/>
          <w:numId w:val="2"/>
        </w:numPr>
        <w:spacing w:after="0"/>
        <w:rPr>
          <w:sz w:val="21"/>
          <w:szCs w:val="21"/>
        </w:rPr>
      </w:pPr>
      <w:r w:rsidRPr="00D91137">
        <w:rPr>
          <w:sz w:val="21"/>
          <w:szCs w:val="21"/>
        </w:rPr>
        <w:t xml:space="preserve">Annual </w:t>
      </w:r>
      <w:r w:rsidR="00C968BF">
        <w:rPr>
          <w:sz w:val="21"/>
          <w:szCs w:val="21"/>
        </w:rPr>
        <w:t xml:space="preserve">Net </w:t>
      </w:r>
      <w:r w:rsidRPr="00D91137">
        <w:rPr>
          <w:sz w:val="21"/>
          <w:szCs w:val="21"/>
        </w:rPr>
        <w:t>rental inc</w:t>
      </w:r>
      <w:r w:rsidR="00911320">
        <w:rPr>
          <w:sz w:val="21"/>
          <w:szCs w:val="21"/>
        </w:rPr>
        <w:t>ome after running costs of</w:t>
      </w:r>
      <w:r w:rsidR="000B62B9">
        <w:rPr>
          <w:sz w:val="21"/>
          <w:szCs w:val="21"/>
        </w:rPr>
        <w:t xml:space="preserve"> 4,000</w:t>
      </w:r>
      <w:r w:rsidR="00911320">
        <w:rPr>
          <w:sz w:val="21"/>
          <w:szCs w:val="21"/>
        </w:rPr>
        <w:t xml:space="preserve"> </w:t>
      </w:r>
      <w:r w:rsidRPr="00D91137">
        <w:rPr>
          <w:sz w:val="21"/>
          <w:szCs w:val="21"/>
        </w:rPr>
        <w:t xml:space="preserve">Euros = </w:t>
      </w:r>
      <w:r w:rsidR="00D377DD">
        <w:rPr>
          <w:b/>
          <w:sz w:val="21"/>
          <w:szCs w:val="21"/>
          <w:u w:val="single"/>
        </w:rPr>
        <w:t>25,272 Euros (7.1</w:t>
      </w:r>
      <w:r w:rsidRPr="00911320">
        <w:rPr>
          <w:b/>
          <w:sz w:val="21"/>
          <w:szCs w:val="21"/>
          <w:u w:val="single"/>
        </w:rPr>
        <w:t>% NET)</w:t>
      </w:r>
      <w:r w:rsidR="00FD0D07">
        <w:rPr>
          <w:b/>
          <w:sz w:val="21"/>
          <w:szCs w:val="21"/>
          <w:u w:val="single"/>
        </w:rPr>
        <w:t>**</w:t>
      </w:r>
      <w:r w:rsidR="00C968BF">
        <w:rPr>
          <w:b/>
          <w:sz w:val="21"/>
          <w:szCs w:val="21"/>
          <w:u w:val="single"/>
        </w:rPr>
        <w:t>*</w:t>
      </w:r>
    </w:p>
    <w:p w:rsidR="00D91137" w:rsidRPr="00D91137" w:rsidRDefault="00D91137" w:rsidP="00D91137">
      <w:pPr>
        <w:spacing w:after="0"/>
        <w:ind w:left="360"/>
        <w:rPr>
          <w:sz w:val="21"/>
          <w:szCs w:val="21"/>
        </w:rPr>
      </w:pPr>
    </w:p>
    <w:p w:rsidR="00D0338D" w:rsidRDefault="001C339F" w:rsidP="00D0338D">
      <w:pPr>
        <w:spacing w:after="0"/>
        <w:rPr>
          <w:sz w:val="21"/>
          <w:szCs w:val="21"/>
        </w:rPr>
      </w:pPr>
      <w:r w:rsidRPr="00D52B40">
        <w:rPr>
          <w:sz w:val="21"/>
          <w:szCs w:val="21"/>
        </w:rPr>
        <w:t xml:space="preserve">The industry occupancy rate </w:t>
      </w:r>
      <w:r w:rsidR="00F2745B">
        <w:rPr>
          <w:sz w:val="21"/>
          <w:szCs w:val="21"/>
        </w:rPr>
        <w:t>for tourist residences is 75%</w:t>
      </w:r>
      <w:r w:rsidR="00FA59AC">
        <w:rPr>
          <w:sz w:val="21"/>
          <w:szCs w:val="21"/>
        </w:rPr>
        <w:t xml:space="preserve"> </w:t>
      </w:r>
      <w:r w:rsidRPr="00D52B40">
        <w:rPr>
          <w:sz w:val="21"/>
          <w:szCs w:val="21"/>
        </w:rPr>
        <w:t xml:space="preserve">so </w:t>
      </w:r>
      <w:r w:rsidR="00E83754">
        <w:rPr>
          <w:sz w:val="21"/>
          <w:szCs w:val="21"/>
        </w:rPr>
        <w:t>to assume an</w:t>
      </w:r>
      <w:r w:rsidRPr="00D52B40">
        <w:rPr>
          <w:sz w:val="21"/>
          <w:szCs w:val="21"/>
        </w:rPr>
        <w:t xml:space="preserve"> occupancy rate of </w:t>
      </w:r>
      <w:r w:rsidR="00C968BF">
        <w:rPr>
          <w:sz w:val="21"/>
          <w:szCs w:val="21"/>
        </w:rPr>
        <w:t>3</w:t>
      </w:r>
      <w:r w:rsidR="00F2745B">
        <w:rPr>
          <w:sz w:val="21"/>
          <w:szCs w:val="21"/>
        </w:rPr>
        <w:t>5</w:t>
      </w:r>
      <w:r w:rsidRPr="00D52B40">
        <w:rPr>
          <w:sz w:val="21"/>
          <w:szCs w:val="21"/>
        </w:rPr>
        <w:t xml:space="preserve">% is quite </w:t>
      </w:r>
      <w:r w:rsidR="00E83754">
        <w:rPr>
          <w:sz w:val="21"/>
          <w:szCs w:val="21"/>
        </w:rPr>
        <w:t>reasonable</w:t>
      </w:r>
      <w:r w:rsidRPr="00D52B40">
        <w:rPr>
          <w:sz w:val="21"/>
          <w:szCs w:val="21"/>
        </w:rPr>
        <w:t xml:space="preserve"> and would bring in a NET yield after costs of </w:t>
      </w:r>
      <w:r w:rsidR="00D377DD">
        <w:rPr>
          <w:sz w:val="21"/>
          <w:szCs w:val="21"/>
        </w:rPr>
        <w:t>7.1</w:t>
      </w:r>
      <w:r w:rsidRPr="00D52B40">
        <w:rPr>
          <w:sz w:val="21"/>
          <w:szCs w:val="21"/>
        </w:rPr>
        <w:t>%</w:t>
      </w:r>
      <w:r w:rsidR="00F2745B">
        <w:rPr>
          <w:sz w:val="21"/>
          <w:szCs w:val="21"/>
        </w:rPr>
        <w:t xml:space="preserve"> but could quite easily be more</w:t>
      </w:r>
      <w:r w:rsidRPr="00D52B40">
        <w:rPr>
          <w:sz w:val="21"/>
          <w:szCs w:val="21"/>
        </w:rPr>
        <w:t>.</w:t>
      </w:r>
      <w:r w:rsidR="00D25963" w:rsidRPr="00D52B40">
        <w:rPr>
          <w:sz w:val="21"/>
          <w:szCs w:val="21"/>
        </w:rPr>
        <w:t xml:space="preserve"> This is of course non-contractual and only indicates the potential rental yield and does not form part of any rental guarantee.</w:t>
      </w:r>
      <w:r w:rsidR="00E02E90">
        <w:rPr>
          <w:sz w:val="21"/>
          <w:szCs w:val="21"/>
        </w:rPr>
        <w:t xml:space="preserve"> </w:t>
      </w:r>
    </w:p>
    <w:p w:rsidR="00664DFC" w:rsidRDefault="00664DFC" w:rsidP="00D0338D">
      <w:pPr>
        <w:spacing w:after="0"/>
        <w:rPr>
          <w:sz w:val="21"/>
          <w:szCs w:val="21"/>
        </w:rPr>
      </w:pPr>
    </w:p>
    <w:p w:rsidR="00C968BF" w:rsidRDefault="00C968BF" w:rsidP="00D0338D">
      <w:pPr>
        <w:spacing w:after="0"/>
        <w:rPr>
          <w:sz w:val="21"/>
          <w:szCs w:val="21"/>
        </w:rPr>
      </w:pPr>
    </w:p>
    <w:p w:rsidR="00FD0D07" w:rsidRDefault="00FD0D07" w:rsidP="00D0338D">
      <w:pPr>
        <w:spacing w:after="0"/>
        <w:rPr>
          <w:sz w:val="21"/>
          <w:szCs w:val="21"/>
        </w:rPr>
      </w:pPr>
      <w:r>
        <w:rPr>
          <w:sz w:val="21"/>
          <w:szCs w:val="21"/>
        </w:rPr>
        <w:t xml:space="preserve">*The running costs are a reasonable estimate of the costs associated with the ownership and rental of a villa and </w:t>
      </w:r>
      <w:r w:rsidR="00851577">
        <w:rPr>
          <w:sz w:val="21"/>
          <w:szCs w:val="21"/>
        </w:rPr>
        <w:t>form no part of a contract</w:t>
      </w:r>
    </w:p>
    <w:p w:rsidR="00FD0D07" w:rsidRDefault="00FD0D07" w:rsidP="00D0338D">
      <w:pPr>
        <w:spacing w:after="0"/>
        <w:rPr>
          <w:sz w:val="21"/>
          <w:szCs w:val="21"/>
        </w:rPr>
      </w:pPr>
      <w:r>
        <w:rPr>
          <w:sz w:val="21"/>
          <w:szCs w:val="21"/>
        </w:rPr>
        <w:t>**The projected rental income is not contractual and is indicated here just to give an idea of the rental income that could be earned</w:t>
      </w:r>
    </w:p>
    <w:p w:rsidR="00FD0D07" w:rsidRDefault="00FD0D07" w:rsidP="00D0338D">
      <w:pPr>
        <w:spacing w:after="0"/>
        <w:rPr>
          <w:sz w:val="21"/>
          <w:szCs w:val="21"/>
        </w:rPr>
      </w:pPr>
      <w:r>
        <w:rPr>
          <w:sz w:val="21"/>
          <w:szCs w:val="21"/>
        </w:rPr>
        <w:t xml:space="preserve">***The NET rent </w:t>
      </w:r>
      <w:r w:rsidR="00D377DD">
        <w:rPr>
          <w:sz w:val="21"/>
          <w:szCs w:val="21"/>
        </w:rPr>
        <w:t>when b</w:t>
      </w:r>
      <w:r w:rsidR="004C5F73">
        <w:rPr>
          <w:sz w:val="21"/>
          <w:szCs w:val="21"/>
        </w:rPr>
        <w:t>ased on the VAT incl</w:t>
      </w:r>
      <w:r w:rsidR="006753EC">
        <w:rPr>
          <w:sz w:val="21"/>
          <w:szCs w:val="21"/>
        </w:rPr>
        <w:t>uded price this is 6</w:t>
      </w:r>
      <w:r w:rsidR="004C5F73">
        <w:rPr>
          <w:sz w:val="21"/>
          <w:szCs w:val="21"/>
        </w:rPr>
        <w:t>% NET.</w:t>
      </w:r>
    </w:p>
    <w:p w:rsidR="007E31B4" w:rsidRDefault="007E31B4" w:rsidP="00D0338D">
      <w:pPr>
        <w:spacing w:after="0"/>
        <w:rPr>
          <w:sz w:val="21"/>
          <w:szCs w:val="21"/>
        </w:rPr>
      </w:pPr>
    </w:p>
    <w:p w:rsidR="007E31B4" w:rsidRDefault="007E31B4" w:rsidP="00D0338D">
      <w:pPr>
        <w:spacing w:after="0"/>
        <w:rPr>
          <w:sz w:val="21"/>
          <w:szCs w:val="21"/>
        </w:rPr>
      </w:pPr>
      <w:r w:rsidRPr="007E31B4">
        <w:rPr>
          <w:sz w:val="21"/>
          <w:szCs w:val="21"/>
        </w:rPr>
        <w:lastRenderedPageBreak/>
        <w:t xml:space="preserve">There are no rental guarantees- the projected NET rental of 7.1% is what we expect owners will receive and it is based on 18 weeks being rented out per year which is well below the industry average so a very reasonable estimate. The reason the projected NET rent is so attractive and better than your typical holiday rental property is because a detached 4 bedroom villa with a pool in the area will typically cost </w:t>
      </w:r>
      <w:r w:rsidR="00D377DD">
        <w:rPr>
          <w:sz w:val="21"/>
          <w:szCs w:val="21"/>
        </w:rPr>
        <w:t>between 475,000 and 500,000</w:t>
      </w:r>
      <w:r w:rsidRPr="007E31B4">
        <w:rPr>
          <w:sz w:val="21"/>
          <w:szCs w:val="21"/>
        </w:rPr>
        <w:t xml:space="preserve"> Euros and this would also not include the full furniture &amp; appliances pack, kitchens, the pool or the Jacuzzi so the prices at La </w:t>
      </w:r>
      <w:proofErr w:type="spellStart"/>
      <w:r w:rsidRPr="007E31B4">
        <w:rPr>
          <w:sz w:val="21"/>
          <w:szCs w:val="21"/>
        </w:rPr>
        <w:t>Foret</w:t>
      </w:r>
      <w:proofErr w:type="spellEnd"/>
      <w:r w:rsidRPr="007E31B4">
        <w:rPr>
          <w:sz w:val="21"/>
          <w:szCs w:val="21"/>
        </w:rPr>
        <w:t xml:space="preserve"> </w:t>
      </w:r>
      <w:proofErr w:type="spellStart"/>
      <w:r w:rsidRPr="007E31B4">
        <w:rPr>
          <w:sz w:val="21"/>
          <w:szCs w:val="21"/>
        </w:rPr>
        <w:t>d’Armotte</w:t>
      </w:r>
      <w:proofErr w:type="spellEnd"/>
      <w:r w:rsidRPr="007E31B4">
        <w:rPr>
          <w:sz w:val="21"/>
          <w:szCs w:val="21"/>
        </w:rPr>
        <w:t xml:space="preserve"> are significantly below what they would normally be whilst still retaining its high specification level. In addition a regular holiday villa will not have the onsite facilities that you will find at La </w:t>
      </w:r>
      <w:proofErr w:type="spellStart"/>
      <w:r w:rsidRPr="007E31B4">
        <w:rPr>
          <w:sz w:val="21"/>
          <w:szCs w:val="21"/>
        </w:rPr>
        <w:t>Foret</w:t>
      </w:r>
      <w:proofErr w:type="spellEnd"/>
      <w:r w:rsidRPr="007E31B4">
        <w:rPr>
          <w:sz w:val="21"/>
          <w:szCs w:val="21"/>
        </w:rPr>
        <w:t xml:space="preserve"> </w:t>
      </w:r>
      <w:proofErr w:type="spellStart"/>
      <w:r w:rsidRPr="007E31B4">
        <w:rPr>
          <w:sz w:val="21"/>
          <w:szCs w:val="21"/>
        </w:rPr>
        <w:t>d’Armotte</w:t>
      </w:r>
      <w:proofErr w:type="spellEnd"/>
      <w:r w:rsidRPr="007E31B4">
        <w:rPr>
          <w:sz w:val="21"/>
          <w:szCs w:val="21"/>
        </w:rPr>
        <w:t xml:space="preserve"> and would not have a dedicated management company on site to provide the changeover services and who are focused on renting your property out (if you allow them to). Lastly as the management company is so experienced and so large (they manage over 300 residences across Europe) they have a very large existing client base and partnerships with tour operators so reaching an occupancy of 18 weeks per year will not be a problem and they usually will rent considerably more weeks than that.</w:t>
      </w:r>
    </w:p>
    <w:p w:rsidR="00851577" w:rsidRDefault="00851577" w:rsidP="00D0338D">
      <w:pPr>
        <w:spacing w:after="0"/>
        <w:rPr>
          <w:sz w:val="21"/>
          <w:szCs w:val="21"/>
        </w:rPr>
      </w:pPr>
    </w:p>
    <w:p w:rsidR="00851577" w:rsidRDefault="00851577" w:rsidP="00D0338D">
      <w:pPr>
        <w:spacing w:after="0"/>
        <w:rPr>
          <w:sz w:val="21"/>
          <w:szCs w:val="21"/>
        </w:rPr>
      </w:pPr>
      <w:r>
        <w:rPr>
          <w:sz w:val="21"/>
          <w:szCs w:val="21"/>
        </w:rPr>
        <w:t>NB. This simulation is just for guidance and does not form any part of investment advice. For investment advice please speak to your financial advisor.</w:t>
      </w:r>
    </w:p>
    <w:p w:rsidR="00FD0D07" w:rsidRPr="00D52B40" w:rsidRDefault="00FD0D07" w:rsidP="00D0338D">
      <w:pPr>
        <w:spacing w:after="0"/>
        <w:rPr>
          <w:sz w:val="21"/>
          <w:szCs w:val="21"/>
        </w:rPr>
      </w:pPr>
    </w:p>
    <w:sectPr w:rsidR="00FD0D07" w:rsidRPr="00D52B40" w:rsidSect="007E3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0B55"/>
    <w:multiLevelType w:val="hybridMultilevel"/>
    <w:tmpl w:val="C2E6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B5626"/>
    <w:multiLevelType w:val="hybridMultilevel"/>
    <w:tmpl w:val="62469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E387C"/>
    <w:multiLevelType w:val="hybridMultilevel"/>
    <w:tmpl w:val="3DCA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5B2FCC"/>
    <w:multiLevelType w:val="hybridMultilevel"/>
    <w:tmpl w:val="BE40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806230"/>
    <w:multiLevelType w:val="hybridMultilevel"/>
    <w:tmpl w:val="4D6A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73"/>
    <w:rsid w:val="00021249"/>
    <w:rsid w:val="00090D9D"/>
    <w:rsid w:val="000B62B9"/>
    <w:rsid w:val="00101D24"/>
    <w:rsid w:val="00113C28"/>
    <w:rsid w:val="00123CE3"/>
    <w:rsid w:val="00147BB7"/>
    <w:rsid w:val="001B292E"/>
    <w:rsid w:val="001C339F"/>
    <w:rsid w:val="00236708"/>
    <w:rsid w:val="00280DE0"/>
    <w:rsid w:val="002B189D"/>
    <w:rsid w:val="0034595E"/>
    <w:rsid w:val="003B1B32"/>
    <w:rsid w:val="003E12F0"/>
    <w:rsid w:val="00412189"/>
    <w:rsid w:val="00423728"/>
    <w:rsid w:val="004800B0"/>
    <w:rsid w:val="0048524E"/>
    <w:rsid w:val="004C46C1"/>
    <w:rsid w:val="004C5F73"/>
    <w:rsid w:val="004C6773"/>
    <w:rsid w:val="004D7EDD"/>
    <w:rsid w:val="005011FC"/>
    <w:rsid w:val="005E0853"/>
    <w:rsid w:val="00622D04"/>
    <w:rsid w:val="00664DFC"/>
    <w:rsid w:val="006753EC"/>
    <w:rsid w:val="00765231"/>
    <w:rsid w:val="007664F1"/>
    <w:rsid w:val="0079441A"/>
    <w:rsid w:val="007A577C"/>
    <w:rsid w:val="007E31B4"/>
    <w:rsid w:val="007E39A6"/>
    <w:rsid w:val="00847B4B"/>
    <w:rsid w:val="00851577"/>
    <w:rsid w:val="008F2F3E"/>
    <w:rsid w:val="00911320"/>
    <w:rsid w:val="009B7EEC"/>
    <w:rsid w:val="009D3092"/>
    <w:rsid w:val="009F36E5"/>
    <w:rsid w:val="00A0203A"/>
    <w:rsid w:val="00A311F2"/>
    <w:rsid w:val="00AA1E69"/>
    <w:rsid w:val="00B3475F"/>
    <w:rsid w:val="00B83F6D"/>
    <w:rsid w:val="00BA40A3"/>
    <w:rsid w:val="00BF5520"/>
    <w:rsid w:val="00C54FF6"/>
    <w:rsid w:val="00C968BF"/>
    <w:rsid w:val="00CC7938"/>
    <w:rsid w:val="00D0338D"/>
    <w:rsid w:val="00D05737"/>
    <w:rsid w:val="00D14AEE"/>
    <w:rsid w:val="00D25963"/>
    <w:rsid w:val="00D377DD"/>
    <w:rsid w:val="00D52B40"/>
    <w:rsid w:val="00D57B83"/>
    <w:rsid w:val="00D91137"/>
    <w:rsid w:val="00DC70E0"/>
    <w:rsid w:val="00DF3D59"/>
    <w:rsid w:val="00E02E90"/>
    <w:rsid w:val="00E32A9A"/>
    <w:rsid w:val="00E558A5"/>
    <w:rsid w:val="00E636EE"/>
    <w:rsid w:val="00E83754"/>
    <w:rsid w:val="00EF3362"/>
    <w:rsid w:val="00F011E4"/>
    <w:rsid w:val="00F24E1E"/>
    <w:rsid w:val="00F2745B"/>
    <w:rsid w:val="00F522B8"/>
    <w:rsid w:val="00F97B11"/>
    <w:rsid w:val="00FA59AC"/>
    <w:rsid w:val="00FD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FC014-751A-432A-8DDD-234835B7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24"/>
    <w:pPr>
      <w:ind w:left="720"/>
      <w:contextualSpacing/>
    </w:pPr>
  </w:style>
  <w:style w:type="character" w:styleId="Hyperlink">
    <w:name w:val="Hyperlink"/>
    <w:basedOn w:val="DefaultParagraphFont"/>
    <w:uiPriority w:val="99"/>
    <w:unhideWhenUsed/>
    <w:rsid w:val="00FA59AC"/>
    <w:rPr>
      <w:color w:val="0000FF" w:themeColor="hyperlink"/>
      <w:u w:val="single"/>
    </w:rPr>
  </w:style>
  <w:style w:type="character" w:styleId="FollowedHyperlink">
    <w:name w:val="FollowedHyperlink"/>
    <w:basedOn w:val="DefaultParagraphFont"/>
    <w:uiPriority w:val="99"/>
    <w:semiHidden/>
    <w:unhideWhenUsed/>
    <w:rsid w:val="00F27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4299">
      <w:bodyDiv w:val="1"/>
      <w:marLeft w:val="0"/>
      <w:marRight w:val="0"/>
      <w:marTop w:val="0"/>
      <w:marBottom w:val="0"/>
      <w:divBdr>
        <w:top w:val="none" w:sz="0" w:space="0" w:color="auto"/>
        <w:left w:val="none" w:sz="0" w:space="0" w:color="auto"/>
        <w:bottom w:val="none" w:sz="0" w:space="0" w:color="auto"/>
        <w:right w:val="none" w:sz="0" w:space="0" w:color="auto"/>
      </w:divBdr>
    </w:div>
    <w:div w:id="17981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Dowlatshahi</dc:creator>
  <cp:lastModifiedBy>User</cp:lastModifiedBy>
  <cp:revision>2</cp:revision>
  <cp:lastPrinted>2013-12-09T15:09:00Z</cp:lastPrinted>
  <dcterms:created xsi:type="dcterms:W3CDTF">2017-06-13T10:02:00Z</dcterms:created>
  <dcterms:modified xsi:type="dcterms:W3CDTF">2017-06-13T10:02:00Z</dcterms:modified>
</cp:coreProperties>
</file>